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31A683" w14:textId="77777777" w:rsidR="00CC7E59" w:rsidRDefault="002D749D" w:rsidP="00CC7E59">
      <w:pPr>
        <w:spacing w:after="0"/>
        <w:jc w:val="center"/>
        <w:rPr>
          <w:b/>
          <w:sz w:val="22"/>
        </w:rPr>
      </w:pPr>
      <w:r>
        <w:rPr>
          <w:b/>
          <w:sz w:val="22"/>
        </w:rPr>
        <w:t xml:space="preserve">NOTICE OF FILING AN APPLICATION FOR </w:t>
      </w:r>
      <w:r w:rsidR="000B4E35">
        <w:rPr>
          <w:b/>
          <w:sz w:val="22"/>
        </w:rPr>
        <w:t xml:space="preserve">AUTHORIZATION TO </w:t>
      </w:r>
      <w:r w:rsidR="00CC7E59">
        <w:rPr>
          <w:b/>
          <w:sz w:val="22"/>
        </w:rPr>
        <w:t>IMPLEMENT THE ENERGY ASSISTANCE SYSTEM BENEFIT CHARGE</w:t>
      </w:r>
    </w:p>
    <w:p w14:paraId="37AB4822" w14:textId="67F24AEF" w:rsidR="002D749D" w:rsidRDefault="002D749D" w:rsidP="00CC7E59">
      <w:pPr>
        <w:jc w:val="center"/>
        <w:rPr>
          <w:b/>
          <w:sz w:val="22"/>
        </w:rPr>
      </w:pPr>
      <w:r>
        <w:rPr>
          <w:b/>
          <w:sz w:val="22"/>
        </w:rPr>
        <w:t>Colorado Natural Gas, Inc.</w:t>
      </w:r>
    </w:p>
    <w:p w14:paraId="78460837" w14:textId="54E0F96A" w:rsidR="005F3DFE" w:rsidRDefault="002D749D" w:rsidP="00ED1F36">
      <w:pPr>
        <w:pStyle w:val="Default"/>
        <w:jc w:val="both"/>
        <w:rPr>
          <w:sz w:val="22"/>
          <w:szCs w:val="22"/>
        </w:rPr>
      </w:pPr>
      <w:r w:rsidRPr="00ED1F36">
        <w:rPr>
          <w:sz w:val="22"/>
          <w:szCs w:val="22"/>
        </w:rPr>
        <w:t xml:space="preserve">You are hereby notified that Colorado Natural Gas, Inc. ("CNG" or “Company”), 10825 E. Geddes Ave, Suite 410, Centennial, Colorado 80112, has filed with the Public Utilities Commission of the State of Colorado (“Commission”), in accordance with the Public Utilities Law, an application </w:t>
      </w:r>
      <w:r w:rsidR="000B4E35" w:rsidRPr="00ED1F36">
        <w:rPr>
          <w:sz w:val="22"/>
          <w:szCs w:val="22"/>
        </w:rPr>
        <w:t xml:space="preserve">to </w:t>
      </w:r>
      <w:r w:rsidR="00CC7E59" w:rsidRPr="00ED1F36">
        <w:rPr>
          <w:sz w:val="22"/>
          <w:szCs w:val="22"/>
        </w:rPr>
        <w:t>implement the Energy Assistance System Benefit Charge (“EASBC”)</w:t>
      </w:r>
      <w:r w:rsidRPr="00ED1F36">
        <w:rPr>
          <w:sz w:val="22"/>
          <w:szCs w:val="22"/>
        </w:rPr>
        <w:t xml:space="preserve">. </w:t>
      </w:r>
      <w:r w:rsidR="00ED1F36" w:rsidRPr="00ED1F36">
        <w:rPr>
          <w:sz w:val="22"/>
          <w:szCs w:val="22"/>
        </w:rPr>
        <w:t xml:space="preserve">The purpose of this filing is to propose a new tariff to bill a monthly charge pursuant to House Bill 21-1105 (“HB21-1105”) and pursuant to the proposed Rule 4412(m) that is pending approval in Proceeding No. 21R-0326EG1. This monthly charge is applicable to all natural gas rate schedules in the Company’s Colorado P.U.C. No. 2 – Gas Tariff (“Tariff”) and is effective October 1, </w:t>
      </w:r>
      <w:proofErr w:type="gramStart"/>
      <w:r w:rsidR="00ED1F36" w:rsidRPr="00ED1F36">
        <w:rPr>
          <w:sz w:val="22"/>
          <w:szCs w:val="22"/>
        </w:rPr>
        <w:t>2021</w:t>
      </w:r>
      <w:proofErr w:type="gramEnd"/>
      <w:r w:rsidR="00ED1F36" w:rsidRPr="00ED1F36">
        <w:rPr>
          <w:sz w:val="22"/>
          <w:szCs w:val="22"/>
        </w:rPr>
        <w:t xml:space="preserve"> </w:t>
      </w:r>
      <w:r w:rsidR="00FF2DA8">
        <w:rPr>
          <w:sz w:val="22"/>
          <w:szCs w:val="22"/>
        </w:rPr>
        <w:t>as</w:t>
      </w:r>
      <w:r w:rsidR="00ED1F36" w:rsidRPr="00ED1F36">
        <w:rPr>
          <w:sz w:val="22"/>
          <w:szCs w:val="22"/>
        </w:rPr>
        <w:t xml:space="preserve"> granted by the Commission. HB21-1105 requires that this monthly charge be assessed by investor-owned utilities beginning October 1, 2021, with customers </w:t>
      </w:r>
      <w:r w:rsidR="00FF2DA8">
        <w:rPr>
          <w:sz w:val="22"/>
          <w:szCs w:val="22"/>
        </w:rPr>
        <w:t xml:space="preserve">able to opt-out from the imposition of </w:t>
      </w:r>
      <w:r w:rsidR="00ED1F36" w:rsidRPr="00ED1F36">
        <w:rPr>
          <w:sz w:val="22"/>
          <w:szCs w:val="22"/>
        </w:rPr>
        <w:t>this charge</w:t>
      </w:r>
      <w:r w:rsidR="00FF2DA8">
        <w:rPr>
          <w:sz w:val="22"/>
          <w:szCs w:val="22"/>
        </w:rPr>
        <w:t xml:space="preserve"> by contacting the company as described below</w:t>
      </w:r>
      <w:r w:rsidR="00ED1F36" w:rsidRPr="00ED1F36">
        <w:rPr>
          <w:sz w:val="22"/>
          <w:szCs w:val="22"/>
        </w:rPr>
        <w:t>.  HB21-1105 requires collection and disbursement of an energy assistance charge to help income-qualified customers with bill assistance in Colorado pursuant to § 40-8.7-104(2.5), C.R.S. HB21-1105</w:t>
      </w:r>
      <w:r w:rsidR="00ED1F36">
        <w:rPr>
          <w:sz w:val="22"/>
          <w:szCs w:val="22"/>
        </w:rPr>
        <w:t>.</w:t>
      </w:r>
      <w:r w:rsidR="00ED1F36" w:rsidRPr="00ED1F36">
        <w:rPr>
          <w:sz w:val="22"/>
          <w:szCs w:val="22"/>
        </w:rPr>
        <w:t xml:space="preserve"> The EASBC will be collected by investor-owned utilities. The EASBC will then be transferred to Energy Outreach Colorado (“EOC”) and subsequently disbursed by EOC for utility bill payment assistance and energy retrofits provided to low-income households</w:t>
      </w:r>
      <w:r w:rsidR="00ED1F36">
        <w:rPr>
          <w:sz w:val="22"/>
          <w:szCs w:val="22"/>
        </w:rPr>
        <w:t xml:space="preserve"> and increases over time as follows.</w:t>
      </w:r>
    </w:p>
    <w:p w14:paraId="50FE2854" w14:textId="453ECDAD" w:rsidR="00ED1F36" w:rsidRDefault="00ED1F36" w:rsidP="00ED1F36">
      <w:pPr>
        <w:pStyle w:val="Default"/>
        <w:jc w:val="both"/>
        <w:rPr>
          <w:sz w:val="22"/>
          <w:szCs w:val="22"/>
        </w:rPr>
      </w:pPr>
    </w:p>
    <w:p w14:paraId="69C1A3AA" w14:textId="77777777" w:rsidR="00ED1F36" w:rsidRPr="00ED1F36" w:rsidRDefault="00ED1F36" w:rsidP="00ED1F36">
      <w:pPr>
        <w:ind w:left="180"/>
        <w:jc w:val="both"/>
        <w:rPr>
          <w:b/>
        </w:rPr>
      </w:pPr>
      <w:r w:rsidRPr="00ED1F36">
        <w:rPr>
          <w:b/>
        </w:rPr>
        <w:t>Table 1. Energy Assistance System Benefit Charge</w:t>
      </w:r>
    </w:p>
    <w:p w14:paraId="44B0ADBD" w14:textId="77777777" w:rsidR="00ED1F36" w:rsidRDefault="00ED1F36" w:rsidP="00ED1F36">
      <w:pPr>
        <w:pStyle w:val="BodyText"/>
        <w:rPr>
          <w:b/>
        </w:rPr>
      </w:pPr>
    </w:p>
    <w:tbl>
      <w:tblPr>
        <w:tblW w:w="0" w:type="auto"/>
        <w:tblInd w:w="2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612"/>
        <w:gridCol w:w="5630"/>
      </w:tblGrid>
      <w:tr w:rsidR="00ED1F36" w14:paraId="0CD167B0" w14:textId="77777777" w:rsidTr="00BC108D">
        <w:trPr>
          <w:trHeight w:val="552"/>
        </w:trPr>
        <w:tc>
          <w:tcPr>
            <w:tcW w:w="3612" w:type="dxa"/>
          </w:tcPr>
          <w:p w14:paraId="4906049A" w14:textId="77777777" w:rsidR="00ED1F36" w:rsidRDefault="00ED1F36" w:rsidP="00BC108D">
            <w:pPr>
              <w:pStyle w:val="TableParagraph"/>
              <w:spacing w:before="1" w:line="240" w:lineRule="auto"/>
              <w:jc w:val="center"/>
              <w:rPr>
                <w:b/>
                <w:sz w:val="24"/>
              </w:rPr>
            </w:pPr>
            <w:r>
              <w:rPr>
                <w:b/>
                <w:sz w:val="24"/>
                <w:u w:val="thick"/>
              </w:rPr>
              <w:t>Timeframe</w:t>
            </w:r>
          </w:p>
        </w:tc>
        <w:tc>
          <w:tcPr>
            <w:tcW w:w="5630" w:type="dxa"/>
          </w:tcPr>
          <w:p w14:paraId="06EB52BA" w14:textId="77777777" w:rsidR="00ED1F36" w:rsidRDefault="00ED1F36" w:rsidP="00BC108D">
            <w:pPr>
              <w:pStyle w:val="TableParagraph"/>
              <w:spacing w:before="1" w:line="240" w:lineRule="auto"/>
              <w:jc w:val="center"/>
              <w:rPr>
                <w:b/>
                <w:sz w:val="24"/>
              </w:rPr>
            </w:pPr>
            <w:r>
              <w:rPr>
                <w:b/>
                <w:sz w:val="24"/>
                <w:u w:val="thick"/>
              </w:rPr>
              <w:t>Monthly Charge Amount</w:t>
            </w:r>
          </w:p>
        </w:tc>
      </w:tr>
      <w:tr w:rsidR="00ED1F36" w14:paraId="48688FE4" w14:textId="77777777" w:rsidTr="00BC108D">
        <w:trPr>
          <w:trHeight w:val="551"/>
        </w:trPr>
        <w:tc>
          <w:tcPr>
            <w:tcW w:w="3612" w:type="dxa"/>
            <w:vAlign w:val="center"/>
          </w:tcPr>
          <w:p w14:paraId="588394AA" w14:textId="77777777" w:rsidR="00ED1F36" w:rsidRDefault="00ED1F36" w:rsidP="00BC108D">
            <w:pPr>
              <w:pStyle w:val="TableParagraph"/>
              <w:spacing w:line="240" w:lineRule="auto"/>
              <w:rPr>
                <w:sz w:val="24"/>
              </w:rPr>
            </w:pPr>
            <w:r>
              <w:rPr>
                <w:sz w:val="24"/>
              </w:rPr>
              <w:t>October 1, 2021 – September 30,</w:t>
            </w:r>
          </w:p>
          <w:p w14:paraId="4AEB33C5" w14:textId="77777777" w:rsidR="00ED1F36" w:rsidRDefault="00ED1F36" w:rsidP="00BC108D">
            <w:pPr>
              <w:pStyle w:val="TableParagraph"/>
              <w:rPr>
                <w:sz w:val="24"/>
              </w:rPr>
            </w:pPr>
            <w:r>
              <w:rPr>
                <w:sz w:val="24"/>
              </w:rPr>
              <w:t>2022</w:t>
            </w:r>
          </w:p>
        </w:tc>
        <w:tc>
          <w:tcPr>
            <w:tcW w:w="5630" w:type="dxa"/>
            <w:vAlign w:val="center"/>
          </w:tcPr>
          <w:p w14:paraId="3C2DE9A1" w14:textId="77777777" w:rsidR="00ED1F36" w:rsidRDefault="00ED1F36" w:rsidP="00BC108D">
            <w:pPr>
              <w:pStyle w:val="TableParagraph"/>
              <w:spacing w:line="240" w:lineRule="auto"/>
              <w:rPr>
                <w:sz w:val="24"/>
              </w:rPr>
            </w:pPr>
            <w:r>
              <w:rPr>
                <w:sz w:val="24"/>
              </w:rPr>
              <w:t>$0.50</w:t>
            </w:r>
          </w:p>
        </w:tc>
      </w:tr>
      <w:tr w:rsidR="00ED1F36" w14:paraId="74EEC021" w14:textId="77777777" w:rsidTr="00BC108D">
        <w:trPr>
          <w:trHeight w:val="551"/>
        </w:trPr>
        <w:tc>
          <w:tcPr>
            <w:tcW w:w="3612" w:type="dxa"/>
            <w:vAlign w:val="center"/>
          </w:tcPr>
          <w:p w14:paraId="6E6505D3" w14:textId="77777777" w:rsidR="00ED1F36" w:rsidRDefault="00ED1F36" w:rsidP="00BC108D">
            <w:pPr>
              <w:pStyle w:val="TableParagraph"/>
              <w:spacing w:line="240" w:lineRule="auto"/>
              <w:rPr>
                <w:sz w:val="24"/>
              </w:rPr>
            </w:pPr>
            <w:r>
              <w:rPr>
                <w:sz w:val="24"/>
              </w:rPr>
              <w:t>October 1, 2022 – September 30,</w:t>
            </w:r>
          </w:p>
          <w:p w14:paraId="349D745A" w14:textId="77777777" w:rsidR="00ED1F36" w:rsidRDefault="00ED1F36" w:rsidP="00BC108D">
            <w:pPr>
              <w:pStyle w:val="TableParagraph"/>
              <w:rPr>
                <w:sz w:val="24"/>
              </w:rPr>
            </w:pPr>
            <w:r>
              <w:rPr>
                <w:sz w:val="24"/>
              </w:rPr>
              <w:t>2023</w:t>
            </w:r>
          </w:p>
        </w:tc>
        <w:tc>
          <w:tcPr>
            <w:tcW w:w="5630" w:type="dxa"/>
            <w:vAlign w:val="center"/>
          </w:tcPr>
          <w:p w14:paraId="17856E8C" w14:textId="77777777" w:rsidR="00ED1F36" w:rsidRDefault="00ED1F36" w:rsidP="00BC108D">
            <w:pPr>
              <w:pStyle w:val="TableParagraph"/>
              <w:spacing w:line="240" w:lineRule="auto"/>
              <w:rPr>
                <w:sz w:val="24"/>
              </w:rPr>
            </w:pPr>
            <w:r>
              <w:rPr>
                <w:sz w:val="24"/>
              </w:rPr>
              <w:t>$0.75</w:t>
            </w:r>
          </w:p>
        </w:tc>
      </w:tr>
      <w:tr w:rsidR="00ED1F36" w14:paraId="6A659AB2" w14:textId="77777777" w:rsidTr="00BC108D">
        <w:trPr>
          <w:trHeight w:val="1104"/>
        </w:trPr>
        <w:tc>
          <w:tcPr>
            <w:tcW w:w="3612" w:type="dxa"/>
            <w:vAlign w:val="center"/>
          </w:tcPr>
          <w:p w14:paraId="064DB8F0" w14:textId="77777777" w:rsidR="00ED1F36" w:rsidRDefault="00ED1F36" w:rsidP="00BC108D">
            <w:pPr>
              <w:pStyle w:val="TableParagraph"/>
              <w:spacing w:before="1" w:line="240" w:lineRule="auto"/>
              <w:rPr>
                <w:sz w:val="24"/>
              </w:rPr>
            </w:pPr>
            <w:r>
              <w:rPr>
                <w:sz w:val="24"/>
              </w:rPr>
              <w:t>Beginning October 1, 2023, unless repealed</w:t>
            </w:r>
          </w:p>
        </w:tc>
        <w:tc>
          <w:tcPr>
            <w:tcW w:w="5630" w:type="dxa"/>
            <w:vAlign w:val="center"/>
          </w:tcPr>
          <w:p w14:paraId="6EBC87E8" w14:textId="77777777" w:rsidR="00ED1F36" w:rsidRDefault="00ED1F36" w:rsidP="00BC108D">
            <w:pPr>
              <w:pStyle w:val="TableParagraph"/>
              <w:spacing w:before="1" w:line="240" w:lineRule="auto"/>
              <w:ind w:right="94"/>
              <w:jc w:val="both"/>
              <w:rPr>
                <w:sz w:val="24"/>
              </w:rPr>
            </w:pPr>
            <w:r>
              <w:rPr>
                <w:sz w:val="24"/>
              </w:rPr>
              <w:t>Adjusted in accordance with the United States Department of Labor’s Bureau of Labor Statistics Consumer Price Index (“CPI”) for Denver-Aurora-</w:t>
            </w:r>
          </w:p>
          <w:p w14:paraId="51B6BC60" w14:textId="77777777" w:rsidR="00ED1F36" w:rsidRDefault="00ED1F36" w:rsidP="00BC108D">
            <w:pPr>
              <w:pStyle w:val="TableParagraph"/>
              <w:spacing w:line="256" w:lineRule="exact"/>
              <w:rPr>
                <w:sz w:val="24"/>
              </w:rPr>
            </w:pPr>
            <w:r>
              <w:rPr>
                <w:sz w:val="24"/>
              </w:rPr>
              <w:t>Lakewood.</w:t>
            </w:r>
          </w:p>
        </w:tc>
      </w:tr>
    </w:tbl>
    <w:p w14:paraId="15654981" w14:textId="77777777" w:rsidR="00ED1F36" w:rsidRPr="00ED1F36" w:rsidRDefault="00ED1F36" w:rsidP="00ED1F36">
      <w:pPr>
        <w:pStyle w:val="Default"/>
        <w:jc w:val="both"/>
        <w:rPr>
          <w:sz w:val="22"/>
          <w:szCs w:val="22"/>
        </w:rPr>
      </w:pPr>
    </w:p>
    <w:p w14:paraId="5AA6F377" w14:textId="77777777" w:rsidR="008A02E1" w:rsidRDefault="008A02E1" w:rsidP="002F45A6">
      <w:pPr>
        <w:rPr>
          <w:b/>
          <w:sz w:val="22"/>
        </w:rPr>
      </w:pPr>
    </w:p>
    <w:p w14:paraId="40DE48DD" w14:textId="4A11791D" w:rsidR="002F45A6" w:rsidRDefault="002F45A6" w:rsidP="00ED1F36">
      <w:pPr>
        <w:pStyle w:val="Default"/>
        <w:jc w:val="both"/>
        <w:rPr>
          <w:sz w:val="22"/>
        </w:rPr>
      </w:pPr>
      <w:r>
        <w:rPr>
          <w:sz w:val="22"/>
          <w:szCs w:val="22"/>
        </w:rPr>
        <w:t xml:space="preserve">Copies of the Application as filed with the Commission are available for inspection, </w:t>
      </w:r>
      <w:r w:rsidR="00D85D84">
        <w:rPr>
          <w:sz w:val="22"/>
          <w:szCs w:val="22"/>
        </w:rPr>
        <w:t>through the Commission’s electronic filing system</w:t>
      </w:r>
      <w:r w:rsidR="005920A3">
        <w:rPr>
          <w:sz w:val="22"/>
          <w:szCs w:val="22"/>
        </w:rPr>
        <w:t xml:space="preserve"> </w:t>
      </w:r>
      <w:r>
        <w:rPr>
          <w:sz w:val="22"/>
          <w:szCs w:val="22"/>
        </w:rPr>
        <w:t>or at the office of the Commission at 1560 Broadway, Suite 250, Denver, Colorado 80202. Customers with questions concerning the Application may call the Commission at (303) 894-2000; or, may contact CNG by telephone at or by email at</w:t>
      </w:r>
      <w:r w:rsidR="00D85D84">
        <w:rPr>
          <w:sz w:val="22"/>
          <w:szCs w:val="22"/>
        </w:rPr>
        <w:t xml:space="preserve"> </w:t>
      </w:r>
      <w:r w:rsidR="00D85D84" w:rsidRPr="00D85D84">
        <w:rPr>
          <w:sz w:val="22"/>
          <w:szCs w:val="22"/>
        </w:rPr>
        <w:t>303-979-7680</w:t>
      </w:r>
      <w:r w:rsidR="00D85D84">
        <w:rPr>
          <w:sz w:val="22"/>
          <w:szCs w:val="22"/>
        </w:rPr>
        <w:t xml:space="preserve">, </w:t>
      </w:r>
      <w:hyperlink r:id="rId6" w:history="1">
        <w:r w:rsidR="00AD14FD" w:rsidRPr="004A1B1C">
          <w:rPr>
            <w:rStyle w:val="Hyperlink"/>
            <w:sz w:val="22"/>
            <w:szCs w:val="22"/>
          </w:rPr>
          <w:t>customerservice@summitnaturalgas.com</w:t>
        </w:r>
      </w:hyperlink>
      <w:r>
        <w:rPr>
          <w:sz w:val="22"/>
          <w:szCs w:val="22"/>
        </w:rPr>
        <w:t>.</w:t>
      </w:r>
      <w:r w:rsidR="00AD14FD">
        <w:rPr>
          <w:sz w:val="22"/>
          <w:szCs w:val="22"/>
        </w:rPr>
        <w:t xml:space="preserve"> </w:t>
      </w:r>
      <w:r>
        <w:rPr>
          <w:sz w:val="22"/>
          <w:szCs w:val="22"/>
        </w:rPr>
        <w:t xml:space="preserve">In addition, the Company’s proposed and present tariffs may be viewed at </w:t>
      </w:r>
      <w:hyperlink r:id="rId7" w:history="1">
        <w:r w:rsidR="005920A3" w:rsidRPr="0009727A">
          <w:rPr>
            <w:rStyle w:val="Hyperlink"/>
            <w:sz w:val="22"/>
            <w:szCs w:val="22"/>
          </w:rPr>
          <w:t>https://www.coloradonaturalgas.com/rates-tariff</w:t>
        </w:r>
      </w:hyperlink>
      <w:r w:rsidR="005920A3">
        <w:rPr>
          <w:sz w:val="22"/>
          <w:szCs w:val="22"/>
        </w:rPr>
        <w:t xml:space="preserve"> </w:t>
      </w:r>
      <w:r>
        <w:rPr>
          <w:sz w:val="22"/>
          <w:szCs w:val="22"/>
        </w:rPr>
        <w:t xml:space="preserve">and the applicable Colorado statutes and Commission rules may be viewed at </w:t>
      </w:r>
      <w:hyperlink r:id="rId8" w:history="1">
        <w:r w:rsidR="005920A3" w:rsidRPr="0009727A">
          <w:rPr>
            <w:rStyle w:val="Hyperlink"/>
            <w:sz w:val="22"/>
            <w:szCs w:val="22"/>
          </w:rPr>
          <w:t>https://puc.colorado.gov</w:t>
        </w:r>
      </w:hyperlink>
      <w:r>
        <w:rPr>
          <w:sz w:val="22"/>
          <w:szCs w:val="22"/>
        </w:rPr>
        <w:t>.</w:t>
      </w:r>
      <w:r w:rsidR="005920A3">
        <w:rPr>
          <w:sz w:val="22"/>
          <w:szCs w:val="22"/>
        </w:rPr>
        <w:t xml:space="preserve"> </w:t>
      </w:r>
      <w:r>
        <w:rPr>
          <w:sz w:val="22"/>
          <w:szCs w:val="22"/>
        </w:rPr>
        <w:t xml:space="preserve">Any person may file a written objection to the Application with the Commission at 1560 Broadway, Suite 250, Denver, Colorado, 80202 or email address Dora_PUC_website@state.co.us. </w:t>
      </w:r>
    </w:p>
    <w:p w14:paraId="2A9E1D94" w14:textId="77777777" w:rsidR="002F45A6" w:rsidRDefault="002F45A6" w:rsidP="002F45A6">
      <w:pPr>
        <w:jc w:val="both"/>
        <w:rPr>
          <w:sz w:val="22"/>
        </w:rPr>
      </w:pPr>
    </w:p>
    <w:p w14:paraId="0EE181B2" w14:textId="49F9E19A" w:rsidR="002F45A6" w:rsidRDefault="002F45A6" w:rsidP="00ED1F36">
      <w:pPr>
        <w:spacing w:after="0"/>
        <w:jc w:val="both"/>
        <w:rPr>
          <w:sz w:val="22"/>
        </w:rPr>
      </w:pPr>
      <w:r>
        <w:rPr>
          <w:sz w:val="22"/>
        </w:rPr>
        <w:t>By:</w:t>
      </w:r>
      <w:r w:rsidR="00331519">
        <w:rPr>
          <w:sz w:val="22"/>
        </w:rPr>
        <w:t xml:space="preserve">  </w:t>
      </w:r>
      <w:r w:rsidR="00ED1F36">
        <w:rPr>
          <w:sz w:val="22"/>
        </w:rPr>
        <w:t>Michelle Moorman Applegate</w:t>
      </w:r>
    </w:p>
    <w:p w14:paraId="1250B128" w14:textId="74EEF8D6" w:rsidR="00ED1F36" w:rsidRDefault="00ED1F36" w:rsidP="00ED1F36">
      <w:pPr>
        <w:spacing w:after="0"/>
        <w:jc w:val="both"/>
      </w:pPr>
      <w:r>
        <w:rPr>
          <w:sz w:val="22"/>
        </w:rPr>
        <w:t>Sr. Director Regulatory Affairs</w:t>
      </w:r>
    </w:p>
    <w:sectPr w:rsidR="00ED1F36">
      <w:headerReference w:type="even" r:id="rId9"/>
      <w:headerReference w:type="default" r:id="rId10"/>
      <w:head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6C79F5" w14:textId="77777777" w:rsidR="00450DF6" w:rsidRDefault="00450DF6" w:rsidP="00331519">
      <w:pPr>
        <w:spacing w:after="0" w:line="240" w:lineRule="auto"/>
      </w:pPr>
      <w:r>
        <w:separator/>
      </w:r>
    </w:p>
  </w:endnote>
  <w:endnote w:type="continuationSeparator" w:id="0">
    <w:p w14:paraId="7200A451" w14:textId="77777777" w:rsidR="00450DF6" w:rsidRDefault="00450DF6" w:rsidP="003315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6A1956" w14:textId="77777777" w:rsidR="00450DF6" w:rsidRDefault="00450DF6" w:rsidP="00331519">
      <w:pPr>
        <w:spacing w:after="0" w:line="240" w:lineRule="auto"/>
      </w:pPr>
      <w:r>
        <w:separator/>
      </w:r>
    </w:p>
  </w:footnote>
  <w:footnote w:type="continuationSeparator" w:id="0">
    <w:p w14:paraId="1E00C3E4" w14:textId="77777777" w:rsidR="00450DF6" w:rsidRDefault="00450DF6" w:rsidP="0033151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48611" w14:textId="6BFEC665" w:rsidR="00331519" w:rsidRDefault="003315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CD883" w14:textId="280DF09A" w:rsidR="00331519" w:rsidRDefault="0033151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07ECA" w14:textId="5CACCB44" w:rsidR="00331519" w:rsidRDefault="0033151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49D"/>
    <w:rsid w:val="00032248"/>
    <w:rsid w:val="0005413A"/>
    <w:rsid w:val="000B4E35"/>
    <w:rsid w:val="000E0EFF"/>
    <w:rsid w:val="0013716B"/>
    <w:rsid w:val="002D749D"/>
    <w:rsid w:val="002F45A6"/>
    <w:rsid w:val="00331519"/>
    <w:rsid w:val="00333621"/>
    <w:rsid w:val="00413F56"/>
    <w:rsid w:val="00447D4F"/>
    <w:rsid w:val="00450DF6"/>
    <w:rsid w:val="00452688"/>
    <w:rsid w:val="00515A51"/>
    <w:rsid w:val="005920A3"/>
    <w:rsid w:val="005E1CDE"/>
    <w:rsid w:val="005F3DFE"/>
    <w:rsid w:val="006222D1"/>
    <w:rsid w:val="0068036B"/>
    <w:rsid w:val="006A78B5"/>
    <w:rsid w:val="006C6627"/>
    <w:rsid w:val="007F36D2"/>
    <w:rsid w:val="008A02E1"/>
    <w:rsid w:val="008E7113"/>
    <w:rsid w:val="00996863"/>
    <w:rsid w:val="00A51FA4"/>
    <w:rsid w:val="00AD14FD"/>
    <w:rsid w:val="00AE58BE"/>
    <w:rsid w:val="00C5242E"/>
    <w:rsid w:val="00CC7E59"/>
    <w:rsid w:val="00CD5090"/>
    <w:rsid w:val="00D85D84"/>
    <w:rsid w:val="00D95FF0"/>
    <w:rsid w:val="00DF0ACD"/>
    <w:rsid w:val="00EB4669"/>
    <w:rsid w:val="00ED1F36"/>
    <w:rsid w:val="00FC3FF8"/>
    <w:rsid w:val="00FC40DE"/>
    <w:rsid w:val="00FF2D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C2EDD3"/>
  <w15:chartTrackingRefBased/>
  <w15:docId w15:val="{B67E953E-D2A7-41B7-953B-26CB5D15C9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bCs/>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C3FF8"/>
    <w:pPr>
      <w:keepNext/>
      <w:keepLines/>
      <w:spacing w:before="240" w:after="0"/>
      <w:outlineLvl w:val="0"/>
    </w:pPr>
    <w:rPr>
      <w:rFonts w:eastAsiaTheme="majorEastAsia" w:cstheme="majorBidi"/>
      <w:b/>
      <w:bCs w:val="0"/>
      <w:color w:val="2F5496" w:themeColor="accent1" w:themeShade="BF"/>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Heading1"/>
    <w:link w:val="Style1Char"/>
    <w:qFormat/>
    <w:rsid w:val="00FC3FF8"/>
    <w:rPr>
      <w:bCs/>
    </w:rPr>
  </w:style>
  <w:style w:type="character" w:customStyle="1" w:styleId="Style1Char">
    <w:name w:val="Style1 Char"/>
    <w:basedOn w:val="Heading1Char"/>
    <w:link w:val="Style1"/>
    <w:rsid w:val="00FC3FF8"/>
    <w:rPr>
      <w:rFonts w:eastAsiaTheme="majorEastAsia" w:cstheme="majorBidi"/>
      <w:b/>
      <w:bCs/>
      <w:color w:val="2F5496" w:themeColor="accent1" w:themeShade="BF"/>
      <w:szCs w:val="32"/>
    </w:rPr>
  </w:style>
  <w:style w:type="character" w:customStyle="1" w:styleId="Heading1Char">
    <w:name w:val="Heading 1 Char"/>
    <w:basedOn w:val="DefaultParagraphFont"/>
    <w:link w:val="Heading1"/>
    <w:uiPriority w:val="9"/>
    <w:rsid w:val="00FC3FF8"/>
    <w:rPr>
      <w:rFonts w:eastAsiaTheme="majorEastAsia" w:cstheme="majorBidi"/>
      <w:b/>
      <w:bCs w:val="0"/>
      <w:color w:val="2F5496" w:themeColor="accent1" w:themeShade="BF"/>
      <w:szCs w:val="32"/>
    </w:rPr>
  </w:style>
  <w:style w:type="paragraph" w:customStyle="1" w:styleId="Default">
    <w:name w:val="Default"/>
    <w:rsid w:val="002D749D"/>
    <w:pPr>
      <w:autoSpaceDE w:val="0"/>
      <w:autoSpaceDN w:val="0"/>
      <w:adjustRightInd w:val="0"/>
      <w:spacing w:after="0" w:line="240" w:lineRule="auto"/>
    </w:pPr>
    <w:rPr>
      <w:rFonts w:cs="Times New Roman"/>
      <w:color w:val="000000"/>
      <w:szCs w:val="24"/>
    </w:rPr>
  </w:style>
  <w:style w:type="character" w:styleId="Hyperlink">
    <w:name w:val="Hyperlink"/>
    <w:basedOn w:val="DefaultParagraphFont"/>
    <w:uiPriority w:val="99"/>
    <w:unhideWhenUsed/>
    <w:rsid w:val="005920A3"/>
    <w:rPr>
      <w:color w:val="0563C1" w:themeColor="hyperlink"/>
      <w:u w:val="single"/>
    </w:rPr>
  </w:style>
  <w:style w:type="character" w:customStyle="1" w:styleId="UnresolvedMention1">
    <w:name w:val="Unresolved Mention1"/>
    <w:basedOn w:val="DefaultParagraphFont"/>
    <w:uiPriority w:val="99"/>
    <w:semiHidden/>
    <w:unhideWhenUsed/>
    <w:rsid w:val="005920A3"/>
    <w:rPr>
      <w:color w:val="605E5C"/>
      <w:shd w:val="clear" w:color="auto" w:fill="E1DFDD"/>
    </w:rPr>
  </w:style>
  <w:style w:type="paragraph" w:styleId="BalloonText">
    <w:name w:val="Balloon Text"/>
    <w:basedOn w:val="Normal"/>
    <w:link w:val="BalloonTextChar"/>
    <w:uiPriority w:val="99"/>
    <w:semiHidden/>
    <w:unhideWhenUsed/>
    <w:rsid w:val="0045268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2688"/>
    <w:rPr>
      <w:rFonts w:ascii="Segoe UI" w:hAnsi="Segoe UI" w:cs="Segoe UI"/>
      <w:sz w:val="18"/>
      <w:szCs w:val="18"/>
    </w:rPr>
  </w:style>
  <w:style w:type="paragraph" w:styleId="Header">
    <w:name w:val="header"/>
    <w:basedOn w:val="Normal"/>
    <w:link w:val="HeaderChar"/>
    <w:uiPriority w:val="99"/>
    <w:unhideWhenUsed/>
    <w:rsid w:val="0033151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1519"/>
  </w:style>
  <w:style w:type="paragraph" w:styleId="Footer">
    <w:name w:val="footer"/>
    <w:basedOn w:val="Normal"/>
    <w:link w:val="FooterChar"/>
    <w:uiPriority w:val="99"/>
    <w:unhideWhenUsed/>
    <w:rsid w:val="0033151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1519"/>
  </w:style>
  <w:style w:type="character" w:styleId="CommentReference">
    <w:name w:val="annotation reference"/>
    <w:basedOn w:val="DefaultParagraphFont"/>
    <w:uiPriority w:val="99"/>
    <w:semiHidden/>
    <w:unhideWhenUsed/>
    <w:rsid w:val="00AD14FD"/>
    <w:rPr>
      <w:sz w:val="16"/>
      <w:szCs w:val="16"/>
    </w:rPr>
  </w:style>
  <w:style w:type="paragraph" w:styleId="CommentText">
    <w:name w:val="annotation text"/>
    <w:basedOn w:val="Normal"/>
    <w:link w:val="CommentTextChar"/>
    <w:uiPriority w:val="99"/>
    <w:semiHidden/>
    <w:unhideWhenUsed/>
    <w:rsid w:val="00AD14FD"/>
    <w:pPr>
      <w:spacing w:line="240" w:lineRule="auto"/>
    </w:pPr>
    <w:rPr>
      <w:sz w:val="20"/>
      <w:szCs w:val="20"/>
    </w:rPr>
  </w:style>
  <w:style w:type="character" w:customStyle="1" w:styleId="CommentTextChar">
    <w:name w:val="Comment Text Char"/>
    <w:basedOn w:val="DefaultParagraphFont"/>
    <w:link w:val="CommentText"/>
    <w:uiPriority w:val="99"/>
    <w:semiHidden/>
    <w:rsid w:val="00AD14FD"/>
    <w:rPr>
      <w:sz w:val="20"/>
      <w:szCs w:val="20"/>
    </w:rPr>
  </w:style>
  <w:style w:type="paragraph" w:styleId="CommentSubject">
    <w:name w:val="annotation subject"/>
    <w:basedOn w:val="CommentText"/>
    <w:next w:val="CommentText"/>
    <w:link w:val="CommentSubjectChar"/>
    <w:uiPriority w:val="99"/>
    <w:semiHidden/>
    <w:unhideWhenUsed/>
    <w:rsid w:val="00AD14FD"/>
    <w:rPr>
      <w:b/>
    </w:rPr>
  </w:style>
  <w:style w:type="character" w:customStyle="1" w:styleId="CommentSubjectChar">
    <w:name w:val="Comment Subject Char"/>
    <w:basedOn w:val="CommentTextChar"/>
    <w:link w:val="CommentSubject"/>
    <w:uiPriority w:val="99"/>
    <w:semiHidden/>
    <w:rsid w:val="00AD14FD"/>
    <w:rPr>
      <w:b/>
      <w:sz w:val="20"/>
      <w:szCs w:val="20"/>
    </w:rPr>
  </w:style>
  <w:style w:type="character" w:customStyle="1" w:styleId="UnresolvedMention2">
    <w:name w:val="Unresolved Mention2"/>
    <w:basedOn w:val="DefaultParagraphFont"/>
    <w:uiPriority w:val="99"/>
    <w:semiHidden/>
    <w:unhideWhenUsed/>
    <w:rsid w:val="00AD14FD"/>
    <w:rPr>
      <w:color w:val="605E5C"/>
      <w:shd w:val="clear" w:color="auto" w:fill="E1DFDD"/>
    </w:rPr>
  </w:style>
  <w:style w:type="paragraph" w:styleId="Revision">
    <w:name w:val="Revision"/>
    <w:hidden/>
    <w:uiPriority w:val="99"/>
    <w:semiHidden/>
    <w:rsid w:val="00AE58BE"/>
    <w:pPr>
      <w:spacing w:after="0" w:line="240" w:lineRule="auto"/>
    </w:pPr>
  </w:style>
  <w:style w:type="table" w:styleId="TableGrid">
    <w:name w:val="Table Grid"/>
    <w:basedOn w:val="TableNormal"/>
    <w:uiPriority w:val="39"/>
    <w:rsid w:val="008A02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ED1F36"/>
    <w:pPr>
      <w:widowControl w:val="0"/>
      <w:autoSpaceDE w:val="0"/>
      <w:autoSpaceDN w:val="0"/>
      <w:spacing w:after="0" w:line="210" w:lineRule="exact"/>
      <w:ind w:left="107"/>
    </w:pPr>
    <w:rPr>
      <w:rFonts w:eastAsia="Times New Roman" w:cs="Times New Roman"/>
      <w:bCs w:val="0"/>
      <w:sz w:val="22"/>
    </w:rPr>
  </w:style>
  <w:style w:type="paragraph" w:styleId="BodyText">
    <w:name w:val="Body Text"/>
    <w:basedOn w:val="Normal"/>
    <w:link w:val="BodyTextChar"/>
    <w:uiPriority w:val="1"/>
    <w:qFormat/>
    <w:rsid w:val="00ED1F36"/>
    <w:pPr>
      <w:widowControl w:val="0"/>
      <w:autoSpaceDE w:val="0"/>
      <w:autoSpaceDN w:val="0"/>
      <w:spacing w:after="0" w:line="240" w:lineRule="auto"/>
    </w:pPr>
    <w:rPr>
      <w:rFonts w:eastAsia="Times New Roman" w:cs="Times New Roman"/>
      <w:bCs w:val="0"/>
      <w:szCs w:val="24"/>
    </w:rPr>
  </w:style>
  <w:style w:type="character" w:customStyle="1" w:styleId="BodyTextChar">
    <w:name w:val="Body Text Char"/>
    <w:basedOn w:val="DefaultParagraphFont"/>
    <w:link w:val="BodyText"/>
    <w:uiPriority w:val="1"/>
    <w:rsid w:val="00ED1F36"/>
    <w:rPr>
      <w:rFonts w:eastAsia="Times New Roman" w:cs="Times New Roman"/>
      <w:bCs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2145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uc.colorado.gov"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www.coloradonaturalgas.com/rates-tariff"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customerservice@summitnaturalgas.com"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453</Words>
  <Characters>2583</Characters>
  <Application>Microsoft Office Word</Application>
  <DocSecurity>0</DocSecurity>
  <PresentationFormat>15|.DOCX</PresentationFormat>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Harry Di Domenico</dc:creator>
  <cp:keywords/>
  <dc:description/>
  <cp:lastModifiedBy>Saul Cervantes Carrillo</cp:lastModifiedBy>
  <cp:revision>2</cp:revision>
  <dcterms:created xsi:type="dcterms:W3CDTF">2022-09-12T13:45:00Z</dcterms:created>
  <dcterms:modified xsi:type="dcterms:W3CDTF">2022-09-12T13:45:00Z</dcterms:modified>
</cp:coreProperties>
</file>